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华东政法大学政治学研究所</w:t>
      </w:r>
      <w:r>
        <w:rPr>
          <w:rFonts w:ascii="宋体" w:hAnsi="宋体" w:cs="宋体"/>
          <w:b/>
          <w:kern w:val="0"/>
          <w:sz w:val="28"/>
          <w:szCs w:val="28"/>
        </w:rPr>
        <w:t>“</w:t>
      </w:r>
      <w:r>
        <w:rPr>
          <w:rFonts w:hint="eastAsia" w:ascii="宋体" w:hAnsi="宋体" w:cs="宋体"/>
          <w:b/>
          <w:kern w:val="0"/>
          <w:sz w:val="28"/>
          <w:szCs w:val="28"/>
        </w:rPr>
        <w:t>第一届比较政治精英夏令营</w:t>
      </w:r>
      <w:r>
        <w:rPr>
          <w:rFonts w:ascii="宋体" w:hAnsi="宋体" w:cs="宋体"/>
          <w:b/>
          <w:kern w:val="0"/>
          <w:sz w:val="28"/>
          <w:szCs w:val="28"/>
        </w:rPr>
        <w:t>”</w:t>
      </w:r>
      <w:r>
        <w:rPr>
          <w:rFonts w:hint="eastAsia" w:ascii="宋体" w:hAnsi="宋体" w:cs="宋体"/>
          <w:b/>
          <w:kern w:val="0"/>
          <w:sz w:val="28"/>
          <w:szCs w:val="28"/>
        </w:rPr>
        <w:t>通告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为了促进全国</w:t>
      </w:r>
      <w:r>
        <w:rPr>
          <w:rFonts w:hint="eastAsia" w:ascii="宋体" w:hAnsi="宋体" w:cs="宋体"/>
          <w:kern w:val="0"/>
          <w:sz w:val="24"/>
          <w:szCs w:val="24"/>
        </w:rPr>
        <w:t>高校</w:t>
      </w:r>
      <w:r>
        <w:rPr>
          <w:rFonts w:ascii="宋体" w:hAnsi="宋体" w:cs="宋体"/>
          <w:kern w:val="0"/>
          <w:sz w:val="24"/>
          <w:szCs w:val="24"/>
        </w:rPr>
        <w:t>优秀大学生之间的互动与交流，</w:t>
      </w:r>
      <w:r>
        <w:rPr>
          <w:rFonts w:hint="eastAsia" w:ascii="宋体" w:hAnsi="宋体" w:cs="宋体"/>
          <w:kern w:val="0"/>
          <w:sz w:val="24"/>
          <w:szCs w:val="24"/>
        </w:rPr>
        <w:t>提升优秀大学生对比较政治学研究</w:t>
      </w:r>
      <w:r>
        <w:rPr>
          <w:rFonts w:ascii="宋体" w:hAnsi="宋体" w:cs="宋体"/>
          <w:kern w:val="0"/>
          <w:sz w:val="24"/>
          <w:szCs w:val="24"/>
        </w:rPr>
        <w:t>的兴趣，</w:t>
      </w:r>
      <w:r>
        <w:rPr>
          <w:rFonts w:hint="eastAsia" w:ascii="宋体" w:hAnsi="宋体" w:cs="宋体"/>
          <w:kern w:val="0"/>
          <w:sz w:val="24"/>
          <w:szCs w:val="24"/>
        </w:rPr>
        <w:t>华东政法大学政治学研究所将举办</w:t>
      </w:r>
      <w:r>
        <w:rPr>
          <w:rFonts w:ascii="宋体" w:hAnsi="宋体" w:cs="宋体"/>
          <w:kern w:val="0"/>
          <w:sz w:val="24"/>
          <w:szCs w:val="24"/>
        </w:rPr>
        <w:t>“</w:t>
      </w:r>
      <w:r>
        <w:rPr>
          <w:rFonts w:hint="eastAsia" w:ascii="宋体" w:hAnsi="宋体" w:cs="宋体"/>
          <w:kern w:val="0"/>
          <w:sz w:val="24"/>
          <w:szCs w:val="24"/>
        </w:rPr>
        <w:t>第一届比较政治精英夏令营</w:t>
      </w:r>
      <w:r>
        <w:rPr>
          <w:rFonts w:ascii="宋体" w:hAnsi="宋体" w:cs="宋体"/>
          <w:kern w:val="0"/>
          <w:sz w:val="24"/>
          <w:szCs w:val="24"/>
        </w:rPr>
        <w:t>”。</w:t>
      </w:r>
      <w:r>
        <w:rPr>
          <w:rFonts w:hint="eastAsia" w:ascii="宋体" w:hAnsi="宋体" w:cs="宋体"/>
          <w:kern w:val="0"/>
          <w:sz w:val="24"/>
          <w:szCs w:val="24"/>
        </w:rPr>
        <w:t>本次夏令营</w:t>
      </w:r>
      <w:r>
        <w:rPr>
          <w:rFonts w:ascii="宋体" w:hAnsi="宋体" w:cs="宋体"/>
          <w:kern w:val="0"/>
          <w:sz w:val="24"/>
          <w:szCs w:val="24"/>
        </w:rPr>
        <w:t>将于201</w:t>
      </w:r>
      <w:r>
        <w:rPr>
          <w:rFonts w:hint="eastAsia"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/>
          <w:kern w:val="0"/>
          <w:sz w:val="24"/>
          <w:szCs w:val="24"/>
        </w:rPr>
        <w:t>日至</w:t>
      </w:r>
      <w:r>
        <w:rPr>
          <w:rFonts w:hint="eastAsia"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/>
          <w:kern w:val="0"/>
          <w:sz w:val="24"/>
          <w:szCs w:val="24"/>
        </w:rPr>
        <w:t>日在</w:t>
      </w:r>
      <w:r>
        <w:rPr>
          <w:rFonts w:hint="eastAsia" w:ascii="宋体" w:hAnsi="宋体" w:cs="宋体"/>
          <w:kern w:val="0"/>
          <w:sz w:val="24"/>
          <w:szCs w:val="24"/>
        </w:rPr>
        <w:t>上海</w:t>
      </w:r>
      <w:r>
        <w:rPr>
          <w:rFonts w:ascii="宋体" w:hAnsi="宋体" w:cs="宋体"/>
          <w:kern w:val="0"/>
          <w:sz w:val="24"/>
          <w:szCs w:val="24"/>
        </w:rPr>
        <w:t>举办</w:t>
      </w:r>
      <w:r>
        <w:rPr>
          <w:rFonts w:hint="eastAsia" w:ascii="宋体" w:hAnsi="宋体" w:cs="宋体"/>
          <w:kern w:val="0"/>
          <w:sz w:val="24"/>
          <w:szCs w:val="24"/>
        </w:rPr>
        <w:t>，内容包括专业课程、专题讨论、学员联谊等活动。本届夏令营拟录取15人，录取名单将通过竞争与择优的方式产生。</w:t>
      </w:r>
      <w:r>
        <w:rPr>
          <w:rFonts w:ascii="宋体" w:hAnsi="宋体" w:cs="宋体"/>
          <w:kern w:val="0"/>
          <w:sz w:val="24"/>
          <w:szCs w:val="24"/>
        </w:rPr>
        <w:t>参加者在夏令营结束后将获得“比较政治项目结业证书”和学习成绩，该学习成绩将成为参加者推免或报考我所比较政治专业的重要参考。</w:t>
      </w:r>
    </w:p>
    <w:p>
      <w:pPr>
        <w:pStyle w:val="10"/>
        <w:widowControl/>
        <w:numPr>
          <w:numId w:val="0"/>
        </w:numPr>
        <w:spacing w:line="360" w:lineRule="auto"/>
        <w:ind w:left="482" w:left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一、</w:t>
      </w:r>
      <w:r>
        <w:rPr>
          <w:rFonts w:ascii="宋体" w:hAnsi="宋体" w:cs="宋体"/>
          <w:kern w:val="0"/>
          <w:sz w:val="24"/>
          <w:szCs w:val="24"/>
        </w:rPr>
        <w:t>申请条件</w:t>
      </w:r>
    </w:p>
    <w:p>
      <w:pPr>
        <w:shd w:val="clear" w:color="auto" w:fill="FFFFFF"/>
        <w:wordWrap w:val="0"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1．全国高校政治学与行政学、国际政治、行政管理、社会学、经济学、法学、外语等专业本科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三年级在校生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2．学习成绩优秀，前三年（或前五学期）总评成绩排名在同年级本专业（班级）前30%之内（在科研方面有突出表现的学生可以不受此约束）；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3．外语水平良好（小语种优先）；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4．对比较政治研究有浓厚兴趣，具有一定科研创新能力。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二、申请材料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1．</w:t>
      </w:r>
      <w:r>
        <w:rPr>
          <w:rFonts w:ascii="宋体" w:hAnsi="宋体" w:cs="宋体"/>
          <w:kern w:val="0"/>
          <w:sz w:val="24"/>
          <w:szCs w:val="24"/>
        </w:rPr>
        <w:t>“</w:t>
      </w:r>
      <w:r>
        <w:rPr>
          <w:rFonts w:hint="eastAsia" w:ascii="宋体" w:hAnsi="宋体" w:cs="宋体"/>
          <w:kern w:val="0"/>
          <w:sz w:val="24"/>
          <w:szCs w:val="24"/>
        </w:rPr>
        <w:t>第一届比较政治精英夏令营</w:t>
      </w:r>
      <w:r>
        <w:rPr>
          <w:rFonts w:ascii="宋体" w:hAnsi="宋体" w:cs="宋体"/>
          <w:kern w:val="0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申请表1份（见附件一）；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2．本人自述1份（格式内容不限）；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3．本科阶段成绩单（由教务部门盖章）1份；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4． 本专业任课教师推荐信2封，推荐信须由推荐人密封并在封口处签字（见附件二）；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5．其他证明材料复印件（英语考试证书或成绩单、已发表论文、获奖证书等）各1份。</w:t>
      </w:r>
    </w:p>
    <w:p>
      <w:pPr>
        <w:widowControl/>
        <w:shd w:val="clear" w:color="auto" w:fill="FFFFFF"/>
        <w:wordWrap w:val="0"/>
        <w:spacing w:line="360" w:lineRule="auto"/>
        <w:ind w:firstLine="360" w:firstLineChars="1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三、申请方式：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1．表格下载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报名申请表和专家推荐信</w:t>
      </w:r>
      <w:r>
        <w:rPr>
          <w:rFonts w:ascii="宋体" w:hAnsi="宋体" w:cs="宋体"/>
          <w:color w:val="000000"/>
          <w:kern w:val="0"/>
          <w:sz w:val="24"/>
          <w:szCs w:val="24"/>
        </w:rPr>
        <w:t>后附，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也可以在华东政法大学政治学研究所网站（</w:t>
      </w:r>
      <w:r>
        <w:rPr>
          <w:rFonts w:ascii="Times New Roman" w:hAnsi="Times New Roman" w:cs="Times New Roman"/>
          <w:b/>
          <w:color w:val="000000"/>
          <w:kern w:val="0"/>
          <w:szCs w:val="21"/>
        </w:rPr>
        <w:t>http://psi.ecupl.edu.cn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）下载。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2．申请表提交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cs="宋体"/>
          <w:kern w:val="0"/>
          <w:sz w:val="24"/>
          <w:szCs w:val="24"/>
        </w:rPr>
        <w:t>“</w:t>
      </w:r>
      <w:r>
        <w:rPr>
          <w:rFonts w:hint="eastAsia" w:ascii="宋体" w:hAnsi="宋体" w:cs="宋体"/>
          <w:kern w:val="0"/>
          <w:sz w:val="24"/>
          <w:szCs w:val="24"/>
        </w:rPr>
        <w:t>第一届比较政治精英夏令营</w:t>
      </w:r>
      <w:r>
        <w:rPr>
          <w:rFonts w:ascii="宋体" w:hAnsi="宋体" w:cs="宋体"/>
          <w:kern w:val="0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申请表电子版（Word格式）请于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4月25日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前发送至：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chenjianlin331082@163.com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，并请在邮件标题中注明“夏令营申请：××（学校）××（姓名）”。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3．全部材料的纸质寄送或PDF扫描件发送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全部材料的提交有两种方式，二者择一即可：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一是将所有材料扫描或拍成PDF文件，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"mailto:打包发送至chenjianlin331082@163.com" </w:instrText>
      </w:r>
      <w:r>
        <w:rPr>
          <w:color w:val="auto"/>
        </w:rPr>
        <w:fldChar w:fldCharType="separate"/>
      </w:r>
      <w:r>
        <w:rPr>
          <w:rStyle w:val="5"/>
          <w:rFonts w:hint="eastAsia" w:ascii="宋体" w:hAnsi="宋体" w:cs="宋体"/>
          <w:color w:val="auto"/>
          <w:kern w:val="0"/>
          <w:sz w:val="24"/>
          <w:szCs w:val="24"/>
        </w:rPr>
        <w:t>打包发送至</w:t>
      </w:r>
      <w:r>
        <w:rPr>
          <w:rStyle w:val="5"/>
          <w:rFonts w:hint="eastAsia" w:ascii="Times New Roman" w:hAnsi="Times New Roman" w:cs="Times New Roman"/>
          <w:b/>
          <w:color w:val="auto"/>
          <w:kern w:val="0"/>
          <w:sz w:val="24"/>
          <w:szCs w:val="24"/>
        </w:rPr>
        <w:t>chenjianlin331082@163.com</w:t>
      </w:r>
      <w:r>
        <w:rPr>
          <w:color w:val="auto"/>
        </w:rPr>
        <w:fldChar w:fldCharType="end"/>
      </w:r>
      <w:r>
        <w:rPr>
          <w:rFonts w:ascii="宋体" w:hAnsi="宋体" w:cs="宋体"/>
          <w:color w:val="auto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二是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将所有申请材料一并装入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大信封，信封正面注明“姓名”、“所在学校及院系”，以及“华东政法大学政治学研究所夏令营申请材料”。申请材料快递至：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上海市松江区龙源路555号华东政法大学富田馆东南201室，陈老师收，邮编：201620；电话：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021-67790421；手机：15692136203。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全部材料的提交截至日期为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5月1日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。逾期不再接受申请。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四、精品课程安排</w:t>
      </w:r>
    </w:p>
    <w:tbl>
      <w:tblPr>
        <w:tblStyle w:val="20"/>
        <w:tblW w:w="9073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36"/>
        <w:gridCol w:w="354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课程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主要内容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993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比较政治总论</w:t>
            </w:r>
          </w:p>
        </w:tc>
        <w:tc>
          <w:tcPr>
            <w:tcW w:w="4536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高奇琦，华东政法大学政治学研究所所长，教授，复旦大学国际关系专业博士，中央编译局政治学博士后，华东政法大学法学博士后。上海市曙光学者，上海市晨光学者，华东政法大学韬奋学者。兼任上海市国际关系学会常务理事、中国政治学会理事、全国高校国际政治研究会理事、加拿大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UBC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大学亚洲研究院兼职研究员、复旦大学韩国研究中心兼职研究员。主要研究方向为比较政治、比较政党政治、比较民族政治、比较政治与国际关系交叉研究。</w:t>
            </w:r>
          </w:p>
        </w:tc>
        <w:tc>
          <w:tcPr>
            <w:tcW w:w="3544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比较政治的学科史；比较政治的理性主义、结构主义、文化主义三大理论；比较政治的方法与基本逻辑；比较政治与国际关系的交叉研究；比较政治的质性研究方法；比较政治的指数化研究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比较政党政治</w:t>
            </w:r>
          </w:p>
        </w:tc>
        <w:tc>
          <w:tcPr>
            <w:tcW w:w="4536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阙天舒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，华东政法大学政治学研究所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副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所长，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副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教授，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上海交通大学政治学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博士，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复旦大学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政治学博士后，华东政法大学法学博士后。主要研究方向为比较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政党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政治、比较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网络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政治、比较政治与国际关系交叉研究。</w:t>
            </w:r>
          </w:p>
        </w:tc>
        <w:tc>
          <w:tcPr>
            <w:tcW w:w="354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比较政党政治的相关理论；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比较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政党政府；比较政党制度；政党与社会的关系研究；政党与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网络社会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治理研究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比较宗教政治</w:t>
            </w:r>
          </w:p>
        </w:tc>
        <w:tc>
          <w:tcPr>
            <w:tcW w:w="4536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章远，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华东政法大学政治学研究所副教授，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复旦大学国际政治博士，华东政法大学法学博士后。上海市高校智库宗教与中国国家安全研究中心客座研究员，复旦大学宗教与国际关系研究中心客座研究员。主要研究方向为比较宗教政治、比较宗教文化、比较政治的文化主义。</w:t>
            </w:r>
          </w:p>
        </w:tc>
        <w:tc>
          <w:tcPr>
            <w:tcW w:w="3544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比较政治研究的宗教维度；比较政治的文化主义研究；宗教政治的东西方比较；比较宗教政治的研究方法；比较宗教与当代国际政治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比较政治经济学</w:t>
            </w:r>
          </w:p>
        </w:tc>
        <w:tc>
          <w:tcPr>
            <w:tcW w:w="4536" w:type="dxa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汪仕凯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，华东政法大学政治学研究所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副教授，复旦大学政治学博士，复旦大学公共管理博士后。主要</w:t>
            </w:r>
            <w:r>
              <w:rPr>
                <w:rFonts w:hint="eastAsia" w:ascii="宋体" w:hAnsi="宋体" w:cs="Heiti SC"/>
                <w:color w:val="000000"/>
                <w:kern w:val="0"/>
                <w:sz w:val="18"/>
                <w:szCs w:val="18"/>
              </w:rPr>
              <w:t>研究方向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为比较政治学、政治经济学、政治社会学、新兴工业国家的工人阶级与民主转型、资本主义世界体系中的阶级兴起与国家建设。</w:t>
            </w:r>
          </w:p>
        </w:tc>
        <w:tc>
          <w:tcPr>
            <w:tcW w:w="3544" w:type="dxa"/>
            <w:vAlign w:val="top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比较政治经济学兴起的时代背景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比较政治经济学的基本领域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多样化的资本主义；资本主义世界体系；国家与市场；福利国家及其改革；中国改革的政治经济学；半边缘国家。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比较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与全球治理</w:t>
            </w:r>
          </w:p>
        </w:tc>
        <w:tc>
          <w:tcPr>
            <w:tcW w:w="4536" w:type="dxa"/>
            <w:shd w:val="clear" w:color="auto" w:fill="CCCCCC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王金良，华东政法大学政治学研究所讲师，中国政法大学政治学博士，华东政法大学法学博士后。主要研究方向为全球化、全球治理、比较政治学理论、社会运动。</w:t>
            </w:r>
          </w:p>
        </w:tc>
        <w:tc>
          <w:tcPr>
            <w:tcW w:w="3544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全球治理基本理论；全球问题与全球治理</w:t>
            </w:r>
            <w:r>
              <w:rPr>
                <w:rFonts w:ascii="宋体" w:hAnsi="宋体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全球治理转型；新兴国家间合作</w:t>
            </w:r>
            <w:r>
              <w:rPr>
                <w:rFonts w:ascii="宋体" w:hAnsi="宋体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全球治理与主权国家关系。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社会科学质性研究方法</w:t>
            </w:r>
          </w:p>
        </w:tc>
        <w:tc>
          <w:tcPr>
            <w:tcW w:w="4536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严行健，华东政法大学政治学研究所助理研究员，英国赫尔大学政治学博士，华东政法大学法律史专业博士后。主要研究方向为立法机构研究、中国人大制度及英国议会制度。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研究方法概述；小样本比较分析的逻辑；文本分析法；话语分析法；扎根理论；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NVIVO</w:t>
            </w:r>
            <w:r>
              <w:rPr>
                <w:rFonts w:hint="eastAsia" w:ascii="宋体" w:hAnsi="宋体"/>
                <w:sz w:val="18"/>
                <w:szCs w:val="18"/>
              </w:rPr>
              <w:t>软件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93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比较政治学的定量研究方法</w:t>
            </w:r>
          </w:p>
        </w:tc>
        <w:tc>
          <w:tcPr>
            <w:tcW w:w="4536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游腾飞，华东政法大学政治学研究所助理研究员，南开大学政治学博士，</w:t>
            </w:r>
            <w:r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美国普渡大学政治学系联合培养博士生。</w:t>
            </w:r>
            <w:r>
              <w:rPr>
                <w:rFonts w:hint="eastAsia" w:ascii="宋体" w:hAnsi="宋体" w:cs="Heiti SC"/>
                <w:color w:val="000000"/>
                <w:kern w:val="0"/>
                <w:sz w:val="18"/>
                <w:szCs w:val="18"/>
              </w:rPr>
              <w:t>主要研究方向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为比较政治学理论与方法、比较地区政治、美国政府与政治。</w:t>
            </w:r>
          </w:p>
        </w:tc>
        <w:tc>
          <w:tcPr>
            <w:tcW w:w="3544" w:type="dxa"/>
            <w:shd w:val="clear" w:color="auto" w:fill="CCCCCC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比较政治定量研究方法</w:t>
            </w:r>
            <w:r>
              <w:rPr>
                <w:rFonts w:hint="eastAsia" w:ascii="宋体" w:hAnsi="宋体" w:cs="Heiti SC"/>
                <w:color w:val="000000"/>
                <w:kern w:val="0"/>
                <w:sz w:val="18"/>
                <w:szCs w:val="18"/>
                <w:lang w:val="en-US" w:eastAsia="zh-CN"/>
              </w:rPr>
              <w:t>总论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；比较政治定量研究方法学术史</w:t>
            </w:r>
            <w:r>
              <w:rPr>
                <w:rFonts w:hint="eastAsia" w:ascii="宋体" w:hAnsi="宋体" w:cs="Heiti SC"/>
                <w:color w:val="000000"/>
                <w:kern w:val="0"/>
                <w:sz w:val="18"/>
                <w:szCs w:val="18"/>
                <w:lang w:eastAsia="zh-CN"/>
              </w:rPr>
              <w:t>；比较政治的</w:t>
            </w:r>
            <w:r>
              <w:rPr>
                <w:rFonts w:hint="eastAsia" w:ascii="宋体" w:hAnsi="宋体" w:cs="Heiti SC"/>
                <w:color w:val="000000"/>
                <w:kern w:val="0"/>
                <w:sz w:val="18"/>
                <w:szCs w:val="18"/>
                <w:lang w:val="en-US" w:eastAsia="zh-CN"/>
              </w:rPr>
              <w:t>大样本研究；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比较政治定量方法的</w:t>
            </w:r>
            <w:r>
              <w:rPr>
                <w:rFonts w:hint="eastAsia" w:ascii="宋体" w:hAnsi="宋体" w:cs="Heiti SC"/>
                <w:color w:val="000000"/>
                <w:kern w:val="0"/>
                <w:sz w:val="18"/>
                <w:szCs w:val="18"/>
                <w:lang w:eastAsia="zh-CN"/>
              </w:rPr>
              <w:t>科学设计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Heiti SC"/>
                <w:color w:val="000000"/>
                <w:kern w:val="0"/>
                <w:sz w:val="18"/>
                <w:szCs w:val="18"/>
                <w:lang w:val="en-US" w:eastAsia="zh-CN"/>
              </w:rPr>
              <w:t>比较政治的统计技术和软件处理；比较政治的混合研究方法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93" w:type="dxa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比较民主政治</w:t>
            </w:r>
          </w:p>
        </w:tc>
        <w:tc>
          <w:tcPr>
            <w:tcW w:w="4536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郝诗楠，华东政法大学政治学研究所助理研究员，英国伦敦政治经济学院国际关系硕士、复旦大学政治学博士，华东政法大学法学博士后。德国图宾根大学汉学系访问学者。主要研究方向为比较政治学理论、东亚政治以及中国政府与政治。</w:t>
            </w:r>
          </w:p>
        </w:tc>
        <w:tc>
          <w:tcPr>
            <w:tcW w:w="3544" w:type="dxa"/>
            <w:vAlign w:val="top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民主与民主化理论；民主体制的比较；威权体制的转型与民主化；民主巩固与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威权回潮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Heiti SC"/>
                <w:color w:val="000000"/>
                <w:kern w:val="0"/>
                <w:sz w:val="18"/>
                <w:szCs w:val="18"/>
              </w:rPr>
              <w:t>；西方自由民主体制的发展；西方的民主输出策略及其局限；拉美地区的民主化；东亚地区的民主化；非洲的民主化；中国民主政治的发展。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五</w:t>
      </w:r>
      <w:r>
        <w:rPr>
          <w:rFonts w:ascii="宋体" w:hAnsi="宋体" w:cs="宋体"/>
          <w:kern w:val="0"/>
          <w:sz w:val="24"/>
          <w:szCs w:val="24"/>
        </w:rPr>
        <w:t>、审核录取</w:t>
      </w:r>
    </w:p>
    <w:p>
      <w:pPr>
        <w:widowControl/>
        <w:spacing w:line="360" w:lineRule="auto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本次夏令营学员录取拟采用书面材料审核和电话面试的形式。</w:t>
      </w:r>
      <w:r>
        <w:rPr>
          <w:rFonts w:ascii="宋体" w:hAnsi="宋体" w:cs="宋体"/>
          <w:kern w:val="0"/>
          <w:sz w:val="24"/>
          <w:szCs w:val="24"/>
        </w:rPr>
        <w:t>录取工作将于</w:t>
      </w:r>
      <w:r>
        <w:rPr>
          <w:rFonts w:ascii="宋体" w:hAnsi="宋体" w:cs="宋体"/>
          <w:b/>
          <w:kern w:val="0"/>
          <w:sz w:val="24"/>
          <w:szCs w:val="24"/>
        </w:rPr>
        <w:t>201</w:t>
      </w:r>
      <w:r>
        <w:rPr>
          <w:rFonts w:hint="eastAsia" w:ascii="宋体" w:hAnsi="宋体" w:cs="宋体"/>
          <w:b/>
          <w:kern w:val="0"/>
          <w:sz w:val="24"/>
          <w:szCs w:val="24"/>
        </w:rPr>
        <w:t>5</w:t>
      </w:r>
      <w:r>
        <w:rPr>
          <w:rFonts w:ascii="宋体" w:hAnsi="宋体" w:cs="宋体"/>
          <w:b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kern w:val="0"/>
          <w:sz w:val="24"/>
          <w:szCs w:val="24"/>
        </w:rPr>
        <w:t>5</w:t>
      </w:r>
      <w:r>
        <w:rPr>
          <w:rFonts w:ascii="宋体" w:hAnsi="宋体" w:cs="宋体"/>
          <w:b/>
          <w:kern w:val="0"/>
          <w:sz w:val="24"/>
          <w:szCs w:val="24"/>
        </w:rPr>
        <w:t>月20日</w:t>
      </w:r>
      <w:r>
        <w:rPr>
          <w:rFonts w:ascii="宋体" w:hAnsi="宋体" w:cs="宋体"/>
          <w:kern w:val="0"/>
          <w:sz w:val="24"/>
          <w:szCs w:val="24"/>
        </w:rPr>
        <w:t>结束。最终录取名单将于</w:t>
      </w:r>
      <w:r>
        <w:rPr>
          <w:rFonts w:hint="eastAsia" w:ascii="宋体" w:hAnsi="宋体" w:cs="宋体"/>
          <w:b/>
          <w:kern w:val="0"/>
          <w:sz w:val="24"/>
          <w:szCs w:val="24"/>
        </w:rPr>
        <w:t>5</w:t>
      </w:r>
      <w:r>
        <w:rPr>
          <w:rFonts w:ascii="宋体" w:hAnsi="宋体" w:cs="宋体"/>
          <w:b/>
          <w:kern w:val="0"/>
          <w:sz w:val="24"/>
          <w:szCs w:val="24"/>
        </w:rPr>
        <w:t>月</w:t>
      </w:r>
      <w:r>
        <w:rPr>
          <w:rFonts w:hint="eastAsia" w:ascii="宋体" w:hAnsi="宋体" w:cs="宋体"/>
          <w:b/>
          <w:kern w:val="0"/>
          <w:sz w:val="24"/>
          <w:szCs w:val="24"/>
        </w:rPr>
        <w:t>25</w:t>
      </w:r>
      <w:r>
        <w:rPr>
          <w:rFonts w:ascii="宋体" w:hAnsi="宋体" w:cs="宋体"/>
          <w:b/>
          <w:kern w:val="0"/>
          <w:sz w:val="24"/>
          <w:szCs w:val="24"/>
        </w:rPr>
        <w:t>日</w:t>
      </w:r>
      <w:r>
        <w:rPr>
          <w:rFonts w:ascii="宋体" w:hAnsi="宋体" w:cs="宋体"/>
          <w:kern w:val="0"/>
          <w:sz w:val="24"/>
          <w:szCs w:val="24"/>
        </w:rPr>
        <w:t>前在</w:t>
      </w:r>
      <w:r>
        <w:rPr>
          <w:rFonts w:hint="eastAsia" w:ascii="宋体" w:hAnsi="宋体" w:cs="宋体"/>
          <w:kern w:val="0"/>
          <w:sz w:val="24"/>
          <w:szCs w:val="24"/>
        </w:rPr>
        <w:t>华东政法大学政治学研究所</w:t>
      </w:r>
      <w:r>
        <w:rPr>
          <w:rFonts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“比较政治研究网”（</w:t>
      </w:r>
      <w:r>
        <w:fldChar w:fldCharType="begin"/>
      </w:r>
      <w:r>
        <w:instrText xml:space="preserve">HYPERLINK "http://psi.ecupl.edu.cn/cp/cpchina/cpchina.asp"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kern w:val="0"/>
          <w:sz w:val="24"/>
          <w:szCs w:val="24"/>
        </w:rPr>
        <w:t>http://psi.ecupl.edu.cn</w:t>
      </w:r>
      <w:r>
        <w:fldChar w:fldCharType="end"/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）</w:t>
      </w:r>
      <w:r>
        <w:rPr>
          <w:rFonts w:ascii="宋体" w:hAnsi="宋体" w:cs="宋体"/>
          <w:kern w:val="0"/>
          <w:sz w:val="24"/>
          <w:szCs w:val="24"/>
        </w:rPr>
        <w:t>上公布，并以电子邮件形式通知本人。</w:t>
      </w:r>
    </w:p>
    <w:p>
      <w:pPr>
        <w:widowControl/>
        <w:spacing w:line="360" w:lineRule="auto"/>
        <w:ind w:firstLine="482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六</w:t>
      </w:r>
      <w:r>
        <w:rPr>
          <w:rFonts w:ascii="宋体" w:hAnsi="宋体" w:cs="宋体"/>
          <w:kern w:val="0"/>
          <w:sz w:val="24"/>
          <w:szCs w:val="24"/>
        </w:rPr>
        <w:t>、食宿安排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1.夏令营期间的住宿费、伙食费、资料费都由我所承担。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2.我所还提供往返交通费资助（仅限于火车硬</w:t>
      </w:r>
      <w:r>
        <w:rPr>
          <w:rFonts w:hint="eastAsia" w:ascii="宋体" w:hAnsi="宋体" w:cs="宋体"/>
          <w:kern w:val="0"/>
          <w:sz w:val="24"/>
          <w:szCs w:val="24"/>
        </w:rPr>
        <w:t>座</w:t>
      </w:r>
      <w:r>
        <w:rPr>
          <w:rFonts w:ascii="宋体" w:hAnsi="宋体" w:cs="宋体"/>
          <w:kern w:val="0"/>
          <w:sz w:val="24"/>
          <w:szCs w:val="24"/>
        </w:rPr>
        <w:t>、长途汽车</w:t>
      </w:r>
      <w:r>
        <w:rPr>
          <w:rFonts w:hint="eastAsia" w:ascii="宋体" w:hAnsi="宋体" w:cs="宋体"/>
          <w:kern w:val="0"/>
          <w:sz w:val="24"/>
          <w:szCs w:val="24"/>
        </w:rPr>
        <w:t>，如若学员自行购买火车卧铺或飞机票，我所只报销火车硬座部分</w:t>
      </w:r>
      <w:r>
        <w:rPr>
          <w:rFonts w:ascii="宋体" w:hAnsi="宋体" w:cs="宋体"/>
          <w:kern w:val="0"/>
          <w:sz w:val="24"/>
          <w:szCs w:val="24"/>
        </w:rPr>
        <w:t>），请妥善保管票据作为报销凭据。</w:t>
      </w:r>
    </w:p>
    <w:p>
      <w:pPr>
        <w:widowControl/>
        <w:spacing w:line="360" w:lineRule="auto"/>
        <w:ind w:firstLine="482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七</w:t>
      </w:r>
      <w:r>
        <w:rPr>
          <w:rFonts w:ascii="宋体" w:hAnsi="宋体" w:cs="宋体"/>
          <w:kern w:val="0"/>
          <w:sz w:val="24"/>
          <w:szCs w:val="24"/>
        </w:rPr>
        <w:t>、注意事项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1.学员报到时需携带身份证、学生证。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2.在营期间，学员必须遵守</w:t>
      </w:r>
      <w:r>
        <w:rPr>
          <w:rFonts w:hint="eastAsia" w:ascii="宋体" w:hAnsi="宋体" w:cs="宋体"/>
          <w:kern w:val="0"/>
          <w:sz w:val="24"/>
          <w:szCs w:val="24"/>
        </w:rPr>
        <w:t>华东政法</w:t>
      </w:r>
      <w:r>
        <w:rPr>
          <w:rFonts w:ascii="宋体" w:hAnsi="宋体" w:cs="宋体"/>
          <w:kern w:val="0"/>
          <w:sz w:val="24"/>
          <w:szCs w:val="24"/>
        </w:rPr>
        <w:t>大学的相关规定。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3.报到后，学员需全程</w:t>
      </w:r>
      <w:r>
        <w:rPr>
          <w:rFonts w:hint="eastAsia" w:ascii="宋体" w:hAnsi="宋体" w:cs="宋体"/>
          <w:kern w:val="0"/>
          <w:sz w:val="24"/>
          <w:szCs w:val="24"/>
        </w:rPr>
        <w:t>封闭式</w:t>
      </w:r>
      <w:r>
        <w:rPr>
          <w:rFonts w:ascii="宋体" w:hAnsi="宋体" w:cs="宋体"/>
          <w:kern w:val="0"/>
          <w:sz w:val="24"/>
          <w:szCs w:val="24"/>
        </w:rPr>
        <w:t>参加夏令营活动。具体的日程安排参见报到时所发放的材料。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4.联系咨询：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华东政法大学政治学研究所陈</w:t>
      </w:r>
      <w:r>
        <w:rPr>
          <w:rFonts w:ascii="宋体" w:hAnsi="宋体" w:cs="宋体"/>
          <w:kern w:val="0"/>
          <w:sz w:val="24"/>
          <w:szCs w:val="24"/>
        </w:rPr>
        <w:t>老师</w:t>
      </w:r>
    </w:p>
    <w:p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联系电话：02</w:t>
      </w: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</w:rPr>
        <w:t>67790421，</w:t>
      </w:r>
      <w:r>
        <w:rPr>
          <w:rFonts w:hint="eastAsia" w:ascii="宋体" w:hAnsi="宋体" w:cs="宋体"/>
          <w:color w:val="4A4A4A"/>
          <w:kern w:val="0"/>
          <w:sz w:val="24"/>
          <w:szCs w:val="24"/>
        </w:rPr>
        <w:t>15692136203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Heiti SC">
    <w:altName w:val="宋体"/>
    <w:panose1 w:val="00000000000000000000"/>
    <w:charset w:val="88"/>
    <w:family w:val="auto"/>
    <w:pitch w:val="default"/>
    <w:sig w:usb0="8000002F" w:usb1="0808004A" w:usb2="00000010" w:usb3="00000000" w:csb0="003E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2600"/>
    <w:rsid w:val="00097D7F"/>
    <w:rsid w:val="0010248D"/>
    <w:rsid w:val="001171A8"/>
    <w:rsid w:val="00162726"/>
    <w:rsid w:val="00182B0F"/>
    <w:rsid w:val="00184349"/>
    <w:rsid w:val="00203D26"/>
    <w:rsid w:val="00227D8E"/>
    <w:rsid w:val="00230DA6"/>
    <w:rsid w:val="002807EA"/>
    <w:rsid w:val="00291181"/>
    <w:rsid w:val="00294AD9"/>
    <w:rsid w:val="002F1C2E"/>
    <w:rsid w:val="00356290"/>
    <w:rsid w:val="00360BD4"/>
    <w:rsid w:val="003871F8"/>
    <w:rsid w:val="003E07FA"/>
    <w:rsid w:val="004008C5"/>
    <w:rsid w:val="00471323"/>
    <w:rsid w:val="004948FC"/>
    <w:rsid w:val="004C1CA4"/>
    <w:rsid w:val="00505DD1"/>
    <w:rsid w:val="00522F95"/>
    <w:rsid w:val="00566838"/>
    <w:rsid w:val="005B4FC8"/>
    <w:rsid w:val="00652F35"/>
    <w:rsid w:val="006C1689"/>
    <w:rsid w:val="00716792"/>
    <w:rsid w:val="0078392C"/>
    <w:rsid w:val="007C2D57"/>
    <w:rsid w:val="007C7367"/>
    <w:rsid w:val="00844852"/>
    <w:rsid w:val="008D0EFE"/>
    <w:rsid w:val="00900C6E"/>
    <w:rsid w:val="009545BD"/>
    <w:rsid w:val="00974C5A"/>
    <w:rsid w:val="009A6E32"/>
    <w:rsid w:val="009D1D89"/>
    <w:rsid w:val="009E3C02"/>
    <w:rsid w:val="00A44805"/>
    <w:rsid w:val="00A47394"/>
    <w:rsid w:val="00A537A3"/>
    <w:rsid w:val="00A65163"/>
    <w:rsid w:val="00B2570D"/>
    <w:rsid w:val="00B61410"/>
    <w:rsid w:val="00B96401"/>
    <w:rsid w:val="00B97F02"/>
    <w:rsid w:val="00BB3019"/>
    <w:rsid w:val="00BD182B"/>
    <w:rsid w:val="00BF0ABD"/>
    <w:rsid w:val="00CA3CAC"/>
    <w:rsid w:val="00CF1EAD"/>
    <w:rsid w:val="00D82600"/>
    <w:rsid w:val="00DC484A"/>
    <w:rsid w:val="00E41C09"/>
    <w:rsid w:val="00E853CE"/>
    <w:rsid w:val="00EB20E7"/>
    <w:rsid w:val="00EE4E63"/>
    <w:rsid w:val="00F279FC"/>
    <w:rsid w:val="00F55A4D"/>
    <w:rsid w:val="00F92C15"/>
    <w:rsid w:val="044F06A2"/>
    <w:rsid w:val="06E1793A"/>
    <w:rsid w:val="45FC0CDF"/>
    <w:rsid w:val="49DF4BED"/>
    <w:rsid w:val="4B272731"/>
    <w:rsid w:val="5E47553D"/>
    <w:rsid w:val="713F5595"/>
    <w:rsid w:val="7F392BC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333333"/>
      <w:sz w:val="18"/>
      <w:szCs w:val="18"/>
      <w:u w:val="none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字符"/>
    <w:basedOn w:val="4"/>
    <w:link w:val="3"/>
    <w:semiHidden/>
    <w:uiPriority w:val="99"/>
    <w:rPr>
      <w:sz w:val="18"/>
      <w:szCs w:val="18"/>
    </w:rPr>
  </w:style>
  <w:style w:type="character" w:customStyle="1" w:styleId="12">
    <w:name w:val="页脚字符"/>
    <w:basedOn w:val="4"/>
    <w:link w:val="2"/>
    <w:semiHidden/>
    <w:uiPriority w:val="99"/>
    <w:rPr>
      <w:sz w:val="18"/>
      <w:szCs w:val="18"/>
    </w:rPr>
  </w:style>
  <w:style w:type="table" w:customStyle="1" w:styleId="13">
    <w:name w:val="Plain Table 5"/>
    <w:basedOn w:val="6"/>
    <w:uiPriority w:val="45"/>
    <w:pPr/>
    <w:tblPr>
      <w:tblStyle w:val="6"/>
      <w:tblStyleRowBandSize w:val="1"/>
      <w:tblStyleColBandSize w:val="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rPr>
        <w:rFonts w:ascii="Cambria" w:hAnsi="Cambria" w:eastAsia="宋体"/>
        <w:i/>
        <w:iCs/>
        <w:sz w:val="26"/>
      </w:rPr>
      <w:tblPr>
        <w:tblStyle w:val="6"/>
        <w:tblLayout w:type="fixed"/>
      </w:tbl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rFonts w:ascii="Cambria" w:hAnsi="Cambria" w:eastAsia="宋体"/>
        <w:i/>
        <w:iCs/>
        <w:sz w:val="26"/>
      </w:rPr>
      <w:tblPr>
        <w:tblStyle w:val="6"/>
        <w:tblLayout w:type="fixed"/>
      </w:tbl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firstCol">
      <w:pPr>
        <w:jc w:val="right"/>
      </w:pPr>
      <w:rPr>
        <w:rFonts w:ascii="Cambria" w:hAnsi="Cambria" w:eastAsia="宋体"/>
        <w:i/>
        <w:iCs/>
        <w:sz w:val="26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single" w:color="7F7F7F" w:sz="4" w:space="0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Col">
      <w:rPr>
        <w:rFonts w:ascii="Cambria" w:hAnsi="Cambria" w:eastAsia="宋体"/>
        <w:i/>
        <w:iCs/>
        <w:sz w:val="26"/>
      </w:rPr>
      <w:tblPr>
        <w:tblStyle w:val="6"/>
        <w:tblLayout w:type="fixed"/>
      </w:tbl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F2F2F2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F2F2F2"/>
        <w:textDirection w:val="lrTb"/>
      </w:tcPr>
    </w:tblStylePr>
    <w:tblStylePr w:type="neCell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nwCell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seCell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swCell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</w:style>
  <w:style w:type="table" w:customStyle="1" w:styleId="14">
    <w:name w:val="Plain Table 4"/>
    <w:basedOn w:val="6"/>
    <w:uiPriority w:val="44"/>
    <w:pPr/>
    <w:tblPr>
      <w:tblStyle w:val="6"/>
      <w:tblStyleRowBandSize w:val="1"/>
      <w:tblStyleColBandSize w:val="1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F2F2F2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F2F2F2"/>
        <w:textDirection w:val="lrTb"/>
      </w:tcPr>
    </w:tblStylePr>
  </w:style>
  <w:style w:type="table" w:customStyle="1" w:styleId="15">
    <w:name w:val="Plain Table 3"/>
    <w:basedOn w:val="6"/>
    <w:uiPriority w:val="43"/>
    <w:pPr/>
    <w:tblPr>
      <w:tblStyle w:val="6"/>
      <w:tblStyleRowBandSize w:val="1"/>
      <w:tblStyleColBandSize w:val="1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>
        <w:tblStyle w:val="6"/>
        <w:tblLayout w:type="fixed"/>
      </w:tbl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rPr>
        <w:b/>
        <w:bCs/>
        <w:caps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  <w:caps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single" w:color="7F7F7F" w:sz="4" w:space="0"/>
          <w:insideH w:val="nil"/>
          <w:insideV w:val="nil"/>
          <w:tl2br w:val="nil"/>
          <w:tr2bl w:val="nil"/>
        </w:tcBorders>
        <w:textDirection w:val="lrTb"/>
      </w:tcPr>
    </w:tblStylePr>
    <w:tblStylePr w:type="lastCol">
      <w:rPr>
        <w:b/>
        <w:bCs/>
        <w:caps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F2F2F2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F2F2F2"/>
        <w:textDirection w:val="lrTb"/>
      </w:tcPr>
    </w:tblStylePr>
    <w:tblStylePr w:type="neCell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nwCell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</w:style>
  <w:style w:type="table" w:customStyle="1" w:styleId="16">
    <w:name w:val="Grid Table 1 Light Accent 1"/>
    <w:basedOn w:val="6"/>
    <w:uiPriority w:val="46"/>
    <w:pPr/>
    <w:tblPr>
      <w:tblStyle w:val="6"/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</w:style>
  <w:style w:type="table" w:customStyle="1" w:styleId="17">
    <w:name w:val="Grid Table 1 Light Accent 3"/>
    <w:basedOn w:val="6"/>
    <w:uiPriority w:val="46"/>
    <w:pPr/>
    <w:tblPr>
      <w:tblStyle w:val="6"/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double" w:color="C2D69B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</w:style>
  <w:style w:type="table" w:customStyle="1" w:styleId="18">
    <w:name w:val="Grid Table 5 Dark Accent 2"/>
    <w:basedOn w:val="6"/>
    <w:uiPriority w:val="50"/>
    <w:pPr/>
    <w:tblPr>
      <w:tblStyle w:val="6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firstCol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lastCol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E5B8B7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E5B8B7"/>
        <w:textDirection w:val="lrTb"/>
      </w:tcPr>
    </w:tblStylePr>
  </w:style>
  <w:style w:type="table" w:customStyle="1" w:styleId="19">
    <w:name w:val="Grid Table 5 Dark Accent 5"/>
    <w:basedOn w:val="6"/>
    <w:uiPriority w:val="50"/>
    <w:pPr/>
    <w:tblPr>
      <w:tblStyle w:val="6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firstCol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lastCol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B6DDE8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B6DDE8"/>
        <w:textDirection w:val="lrTb"/>
      </w:tcPr>
    </w:tblStylePr>
  </w:style>
  <w:style w:type="table" w:customStyle="1" w:styleId="20">
    <w:name w:val="Grid Table 4"/>
    <w:basedOn w:val="6"/>
    <w:uiPriority w:val="49"/>
    <w:pPr/>
    <w:tblPr>
      <w:tblStyle w:val="6"/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doub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CCCCCC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CCCCCC"/>
        <w:textDirection w:val="lrTb"/>
      </w:tcPr>
    </w:tblStylePr>
  </w:style>
  <w:style w:type="table" w:customStyle="1" w:styleId="21">
    <w:name w:val="Grid Table 4 Accent 1"/>
    <w:basedOn w:val="6"/>
    <w:uiPriority w:val="49"/>
    <w:pPr/>
    <w:tblPr>
      <w:tblStyle w:val="6"/>
      <w:tblStyleRowBandSize w:val="1"/>
      <w:tblStyleColBandSize w:val="1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DBE5F1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DBE5F1"/>
        <w:textDirection w:val="lrTb"/>
      </w:tcPr>
    </w:tblStylePr>
  </w:style>
  <w:style w:type="table" w:customStyle="1" w:styleId="22">
    <w:name w:val="Grid Table 3"/>
    <w:basedOn w:val="6"/>
    <w:uiPriority w:val="48"/>
    <w:pPr/>
    <w:tblPr>
      <w:tblStyle w:val="6"/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firstCol">
      <w:pPr>
        <w:jc w:val="right"/>
      </w:pPr>
      <w:rPr>
        <w:i/>
        <w:iCs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Col">
      <w:rPr>
        <w:i/>
        <w:iCs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CCCCCC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CCCCCC"/>
        <w:textDirection w:val="lrTb"/>
      </w:tcPr>
    </w:tblStylePr>
    <w:tblStylePr w:type="neCell">
      <w:tblPr>
        <w:tblStyle w:val="6"/>
        <w:tblLayout w:type="fixed"/>
      </w:tblPr>
      <w:tcPr>
        <w:tcBorders>
          <w:top w:val="nil"/>
          <w:left w:val="nil"/>
          <w:bottom w:val="single" w:color="666666" w:sz="4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nwCell">
      <w:tblPr>
        <w:tblStyle w:val="6"/>
        <w:tblLayout w:type="fixed"/>
      </w:tblPr>
      <w:tcPr>
        <w:tcBorders>
          <w:top w:val="nil"/>
          <w:left w:val="nil"/>
          <w:bottom w:val="single" w:color="666666" w:sz="4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seCell">
      <w:tblPr>
        <w:tblStyle w:val="6"/>
        <w:tblLayout w:type="fixed"/>
      </w:tblPr>
      <w:tcPr>
        <w:tcBorders>
          <w:top w:val="single" w:color="66666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swCell">
      <w:tblPr>
        <w:tblStyle w:val="6"/>
        <w:tblLayout w:type="fixed"/>
      </w:tblPr>
      <w:tcPr>
        <w:tcBorders>
          <w:top w:val="single" w:color="66666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</w:style>
  <w:style w:type="table" w:customStyle="1" w:styleId="23">
    <w:name w:val="Grid Table 5 Dark"/>
    <w:basedOn w:val="6"/>
    <w:uiPriority w:val="50"/>
    <w:pPr/>
    <w:tblPr>
      <w:tblStyle w:val="6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999999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453</Words>
  <Characters>2586</Characters>
  <Lines>21</Lines>
  <Paragraphs>6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2015-03-29T16:44:00Z</dcterms:created>
  <dc:creator>Microsoft</dc:creator>
  <cp:lastModifiedBy>Administrator</cp:lastModifiedBy>
  <cp:lastPrinted>2015-04-02T08:23:00Z</cp:lastPrinted>
  <dcterms:modified xsi:type="dcterms:W3CDTF">2015-04-03T07:42:17Z</dcterms:modified>
  <dc:title>华东政法大学政治学研究所“第一届比较政治精英夏令营”通告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